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Додаток  1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«ЗАТВЕРДЖЕНО»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рішенням сесії с / ради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від 15.01.2014 №39/8</w:t>
      </w:r>
      <w:r>
        <w:rPr>
          <w:sz w:val="24"/>
          <w:szCs w:val="24"/>
          <w:lang w:val="uk-UA"/>
        </w:rPr>
        <w:tab/>
      </w:r>
    </w:p>
    <w:p w:rsidR="00533A95" w:rsidRDefault="00533A95" w:rsidP="00533A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О Л О Ж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33A95" w:rsidRDefault="00533A95" w:rsidP="00533A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пайову участь забудовників на розвиток інженерно-транспортної та соціальної інфраструктури території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ради.</w:t>
      </w:r>
    </w:p>
    <w:p w:rsidR="00533A95" w:rsidRDefault="00533A95" w:rsidP="00533A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numPr>
          <w:ilvl w:val="0"/>
          <w:numId w:val="1"/>
        </w:numPr>
        <w:tabs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залучення пайових внесків забудовників на розвиток інженерно-транспортної та соціальної інфраструктури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(далі – Положення) розроблене з метою встановлення порядку та визначення розмірів пайових внесків забудовників на розвиток інженерно-транспортної та соціальної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533A95" w:rsidRDefault="00533A95" w:rsidP="00533A95">
      <w:pPr>
        <w:numPr>
          <w:ilvl w:val="0"/>
          <w:numId w:val="1"/>
        </w:numPr>
        <w:tabs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Міністрів України від 24 січня 2007 року № 40 "Про встановлення граничного розміру залучення коштів замовників на розвиток інженерно-транспортної та соціальної інфраструктури населених пунктів"  граничний розмір залучення коштів замовників  на розвиток інженерно-транспортної  та соціальної інфраструктури населених пунктів з урахуванням вартості робіт, передбачених вихідними даними на проектування, не може перевищувати 20 відсотків вартості будівництва об’єкта незалежно від його функціонального призначення..</w:t>
      </w:r>
    </w:p>
    <w:p w:rsidR="00533A95" w:rsidRDefault="00533A95" w:rsidP="00533A95">
      <w:pPr>
        <w:numPr>
          <w:ilvl w:val="0"/>
          <w:numId w:val="1"/>
        </w:numPr>
        <w:tabs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Орієнтовні розміри пайових внесків встановлюються відповідно до додатку 1 в залежності від функціонального призначення об’єктів забудови. Конкретний розмір внесків у межах, визначених додатком 2, встановлюється комісією по встановленню розмірів внесків на розвиток інженерно-транспортної та соціальної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(далі – Комісія) і закріплюється у договорі про пайову участь на розвиток інженерно-транспортної та соціальної інфраструктури (далі – Договір) між сільським головою та забудовником. </w:t>
      </w:r>
    </w:p>
    <w:p w:rsidR="00533A95" w:rsidRDefault="00533A95" w:rsidP="00533A95">
      <w:pPr>
        <w:numPr>
          <w:ilvl w:val="0"/>
          <w:numId w:val="1"/>
        </w:numPr>
        <w:tabs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Умовами Договору сума відрахувань може бути замінена на виконання робіт, спрямованих на розвиток інженерно-транспортної та соціальної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витрати на виконання яких дорівнюють сумі відрахувань.</w:t>
      </w:r>
    </w:p>
    <w:p w:rsidR="00533A95" w:rsidRDefault="00533A95" w:rsidP="00533A95">
      <w:pPr>
        <w:numPr>
          <w:ilvl w:val="0"/>
          <w:numId w:val="1"/>
        </w:numPr>
        <w:tabs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t>Пайову участь (внески) не сплачують інвестори (забудовники), які здійснюють:</w:t>
      </w:r>
    </w:p>
    <w:p w:rsidR="00533A95" w:rsidRDefault="00533A95" w:rsidP="00533A95">
      <w:pPr>
        <w:pStyle w:val="Just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- будівництво (реконструкцію) будь-яких об’єктів на замовлення </w:t>
      </w:r>
      <w:r>
        <w:rPr>
          <w:noProof/>
          <w:sz w:val="28"/>
          <w:szCs w:val="28"/>
          <w:lang w:val="uk-UA"/>
        </w:rPr>
        <w:t>районної</w:t>
      </w:r>
      <w:r>
        <w:rPr>
          <w:noProof/>
          <w:sz w:val="28"/>
          <w:szCs w:val="28"/>
        </w:rPr>
        <w:t xml:space="preserve"> державної адміністрації та/або </w:t>
      </w:r>
      <w:r>
        <w:rPr>
          <w:noProof/>
          <w:sz w:val="28"/>
          <w:szCs w:val="28"/>
          <w:lang w:val="uk-UA"/>
        </w:rPr>
        <w:t>ради</w:t>
      </w:r>
      <w:r>
        <w:rPr>
          <w:noProof/>
          <w:sz w:val="28"/>
          <w:szCs w:val="28"/>
        </w:rPr>
        <w:t xml:space="preserve"> за кошти державного та/або місцевого бюджету;</w:t>
      </w:r>
    </w:p>
    <w:p w:rsidR="00533A95" w:rsidRDefault="00533A95" w:rsidP="00533A95">
      <w:pPr>
        <w:pStyle w:val="Jus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будівництво житла для соціально незахищених категорій громадян, які перебувають на квартирному обліку в </w:t>
      </w:r>
      <w:r>
        <w:rPr>
          <w:noProof/>
          <w:sz w:val="28"/>
          <w:szCs w:val="28"/>
          <w:lang w:val="uk-UA"/>
        </w:rPr>
        <w:t>раді</w:t>
      </w:r>
      <w:r>
        <w:rPr>
          <w:noProof/>
          <w:sz w:val="28"/>
          <w:szCs w:val="28"/>
        </w:rPr>
        <w:t>;</w:t>
      </w:r>
    </w:p>
    <w:p w:rsidR="00533A95" w:rsidRDefault="00533A95" w:rsidP="00533A95">
      <w:pPr>
        <w:pStyle w:val="Jus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- реконструкцію (прибудову, добудову, розширення) існуючих індивідуальних (приватних) житлових будинків в межах 30% від загальної площі;</w:t>
      </w:r>
    </w:p>
    <w:p w:rsidR="00533A95" w:rsidRDefault="00533A95" w:rsidP="00533A95">
      <w:pPr>
        <w:pStyle w:val="Jus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- будівництво об’єктів соціальної сфери (дитячих дошкільних закладів, загальноосвітніх та спортивних шкіл, об’єктів позашкільного виховання, охорони здоров’я та соціального забезпечення тощо) за умов передачі їх у комунальну власність міста або району;</w:t>
      </w:r>
    </w:p>
    <w:p w:rsidR="00533A95" w:rsidRDefault="00533A95" w:rsidP="00533A95">
      <w:pPr>
        <w:pStyle w:val="Just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>- будівництво гаражів, паркінгів, автостоянок, підсобних та господарських приміщень у складі житлових будинків, відповідно до затвердженої у встановленому порядку проектно-кошторисної документації;</w:t>
      </w:r>
      <w:proofErr w:type="gramEnd"/>
    </w:p>
    <w:p w:rsidR="00533A95" w:rsidRDefault="00533A95" w:rsidP="00533A95">
      <w:pPr>
        <w:pStyle w:val="Just"/>
        <w:rPr>
          <w:noProof/>
          <w:sz w:val="28"/>
          <w:szCs w:val="28"/>
        </w:rPr>
      </w:pPr>
      <w:r>
        <w:rPr>
          <w:noProof/>
          <w:sz w:val="28"/>
          <w:szCs w:val="28"/>
        </w:rPr>
        <w:t>- будівництво релігійно-культових об’єктів;</w:t>
      </w:r>
    </w:p>
    <w:p w:rsidR="00533A95" w:rsidRDefault="00533A95" w:rsidP="00533A95">
      <w:pPr>
        <w:pStyle w:val="Just"/>
        <w:rPr>
          <w:noProof/>
          <w:sz w:val="28"/>
          <w:szCs w:val="28"/>
        </w:rPr>
      </w:pPr>
      <w:r>
        <w:rPr>
          <w:noProof/>
          <w:sz w:val="28"/>
          <w:szCs w:val="28"/>
        </w:rPr>
        <w:t>- реставрацію пам’яток архітектури, історії та культури в частині площ, що не перепрофільовуються;</w:t>
      </w:r>
    </w:p>
    <w:p w:rsidR="00533A95" w:rsidRDefault="00533A95" w:rsidP="00533A95">
      <w:pPr>
        <w:pStyle w:val="Just"/>
        <w:rPr>
          <w:noProof/>
          <w:sz w:val="28"/>
          <w:szCs w:val="28"/>
        </w:rPr>
      </w:pPr>
      <w:r>
        <w:rPr>
          <w:noProof/>
          <w:sz w:val="28"/>
          <w:szCs w:val="28"/>
        </w:rPr>
        <w:t>- відтворення втрачених об’єктів історико-архітектурної спадщини в частині площ, що не перепрофільовуються;</w:t>
      </w:r>
    </w:p>
    <w:p w:rsidR="00533A95" w:rsidRDefault="00533A95" w:rsidP="00533A95">
      <w:pPr>
        <w:pStyle w:val="Just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>- реконструкцію об’єктів, що є пам’ятками архітектури, історії та культури, якщо інвесторами (забудовниками) було здійснено відселення за їх кошти із старих та непридатних для проживання житлових будинків або будівель (споруд), придбаних в процесі приватизації об’єктів, в частині площ, що не нарощуються і не перепрофільовуються;</w:t>
      </w:r>
      <w:proofErr w:type="gramEnd"/>
    </w:p>
    <w:p w:rsidR="00533A95" w:rsidRDefault="00533A95" w:rsidP="00533A95">
      <w:pPr>
        <w:pStyle w:val="Just"/>
        <w:rPr>
          <w:noProof/>
          <w:sz w:val="28"/>
          <w:szCs w:val="28"/>
        </w:rPr>
      </w:pPr>
      <w:r>
        <w:rPr>
          <w:noProof/>
          <w:sz w:val="28"/>
          <w:szCs w:val="28"/>
        </w:rPr>
        <w:t>- будівництво об’єктів інженерного забезпечення, енергозбереження та енергопостачання: насосних станцій та теплових мереж, бойлерних, котелень, трансформаторних підстанцій, РП, ПС, ГРП, ЛЕП тощо</w:t>
      </w:r>
    </w:p>
    <w:p w:rsidR="00533A95" w:rsidRDefault="00533A95" w:rsidP="00533A9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випадку будівництва об’єкту у зоні, де відсутні мережі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тепло-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газопостачання, водовідведення, та якщо забудовник зобов’язується їх побудувати за власні кошти, за пропозицією управління будівництва, архітектури та житлово-комунального господарства райдержадміністрації можливе застосування понижуючого коефіцієнту – 0,7.</w:t>
      </w:r>
    </w:p>
    <w:p w:rsidR="00533A95" w:rsidRDefault="00533A95" w:rsidP="00533A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 Ж.Л.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Півницька</w:t>
      </w:r>
      <w:proofErr w:type="spellEnd"/>
    </w:p>
    <w:p w:rsidR="00533A95" w:rsidRDefault="00533A95" w:rsidP="00533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533A95" w:rsidRDefault="00533A95" w:rsidP="00533A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3A95" w:rsidRDefault="00533A95" w:rsidP="00533A95">
      <w:pPr>
        <w:jc w:val="right"/>
        <w:rPr>
          <w:sz w:val="24"/>
          <w:szCs w:val="24"/>
          <w:lang w:val="uk-UA"/>
        </w:rPr>
      </w:pPr>
    </w:p>
    <w:p w:rsidR="00533A95" w:rsidRDefault="00533A95" w:rsidP="00533A95">
      <w:pPr>
        <w:jc w:val="right"/>
        <w:rPr>
          <w:sz w:val="24"/>
          <w:szCs w:val="24"/>
          <w:lang w:val="uk-UA"/>
        </w:rPr>
      </w:pPr>
    </w:p>
    <w:p w:rsidR="00533A95" w:rsidRDefault="00533A95" w:rsidP="00533A95">
      <w:pPr>
        <w:jc w:val="right"/>
        <w:rPr>
          <w:sz w:val="24"/>
          <w:szCs w:val="24"/>
          <w:lang w:val="uk-UA"/>
        </w:rPr>
      </w:pPr>
    </w:p>
    <w:p w:rsidR="00533A95" w:rsidRDefault="00533A95" w:rsidP="00533A95">
      <w:pPr>
        <w:jc w:val="right"/>
        <w:rPr>
          <w:sz w:val="24"/>
          <w:szCs w:val="24"/>
          <w:lang w:val="uk-UA"/>
        </w:rPr>
      </w:pPr>
    </w:p>
    <w:p w:rsidR="00533A95" w:rsidRDefault="00533A95" w:rsidP="00533A95">
      <w:pPr>
        <w:rPr>
          <w:sz w:val="24"/>
          <w:szCs w:val="24"/>
          <w:lang w:val="uk-UA"/>
        </w:rPr>
      </w:pPr>
    </w:p>
    <w:p w:rsidR="00533A95" w:rsidRDefault="00533A95" w:rsidP="00533A95">
      <w:pPr>
        <w:rPr>
          <w:sz w:val="24"/>
          <w:szCs w:val="24"/>
          <w:lang w:val="uk-UA"/>
        </w:rPr>
      </w:pPr>
    </w:p>
    <w:p w:rsidR="00533A95" w:rsidRDefault="00533A95" w:rsidP="00533A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№ 2                                                                                                          </w:t>
      </w:r>
    </w:p>
    <w:p w:rsidR="00533A95" w:rsidRDefault="00533A95" w:rsidP="00533A9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«ЗАТВЕРДЖЕНО»</w:t>
      </w:r>
    </w:p>
    <w:p w:rsidR="00533A95" w:rsidRDefault="00533A95" w:rsidP="00533A9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рішенням сесії сільської ради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від15.01.2014 №39/8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33A95" w:rsidRDefault="00533A95" w:rsidP="00533A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Розмір відрахувань замовниками будівництва для приміщень та споруд</w:t>
      </w:r>
    </w:p>
    <w:p w:rsidR="00533A95" w:rsidRDefault="00533A95" w:rsidP="00533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804"/>
        <w:gridCol w:w="5561"/>
        <w:gridCol w:w="3206"/>
      </w:tblGrid>
      <w:tr w:rsidR="00533A95" w:rsidTr="00533A95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Види приміщень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Відрахування від вартості будівельно-монтажних робіт, %</w:t>
            </w:r>
          </w:p>
        </w:tc>
      </w:tr>
      <w:tr w:rsidR="00533A95" w:rsidTr="00533A95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АЗС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– 20%</w:t>
            </w:r>
          </w:p>
        </w:tc>
      </w:tr>
      <w:tr w:rsidR="00533A95" w:rsidTr="00533A95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Комерційного призначення (магазини, кафе, ресторани, аптеки, перукарні, СТО, салони краси, майстерні) та ін.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 – 15% </w:t>
            </w:r>
          </w:p>
        </w:tc>
      </w:tr>
      <w:tr w:rsidR="00533A95" w:rsidTr="00533A95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Господарського та виробничого призначення (склади, гаражі, підсобні приміщення) та ін.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2 - 5%</w:t>
            </w:r>
          </w:p>
        </w:tc>
      </w:tr>
      <w:tr w:rsidR="00533A95" w:rsidTr="00533A95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Житлового призначення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2 - 5%</w:t>
            </w:r>
          </w:p>
        </w:tc>
      </w:tr>
      <w:tr w:rsidR="00533A95" w:rsidTr="00533A95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A95" w:rsidRDefault="00533A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Переобладнання з житлового приміщення в нежитлове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95" w:rsidRDefault="00533A95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50 - 100 грн. за м</w:t>
            </w:r>
            <w:r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</w:tbl>
    <w:p w:rsidR="00533A95" w:rsidRDefault="00533A95" w:rsidP="00533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               А.І.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3A95" w:rsidRDefault="00533A95" w:rsidP="00533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b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b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b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b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b/>
          <w:sz w:val="24"/>
          <w:szCs w:val="24"/>
          <w:lang w:val="uk-UA"/>
        </w:rPr>
      </w:pPr>
    </w:p>
    <w:p w:rsidR="00533A95" w:rsidRDefault="00533A95" w:rsidP="00533A95">
      <w:pPr>
        <w:jc w:val="right"/>
        <w:rPr>
          <w:sz w:val="24"/>
          <w:szCs w:val="24"/>
          <w:lang w:val="uk-UA"/>
        </w:rPr>
      </w:pPr>
    </w:p>
    <w:p w:rsidR="00533A95" w:rsidRDefault="00533A95" w:rsidP="00533A95">
      <w:pPr>
        <w:jc w:val="right"/>
        <w:rPr>
          <w:sz w:val="24"/>
          <w:szCs w:val="24"/>
          <w:lang w:val="uk-UA"/>
        </w:rPr>
      </w:pPr>
    </w:p>
    <w:p w:rsidR="00533A95" w:rsidRDefault="00533A95" w:rsidP="00533A95">
      <w:pPr>
        <w:jc w:val="right"/>
        <w:rPr>
          <w:sz w:val="24"/>
          <w:szCs w:val="24"/>
          <w:lang w:val="uk-UA"/>
        </w:rPr>
      </w:pP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№ 3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«ЗАТВЕРДЖЕНО»</w:t>
      </w:r>
    </w:p>
    <w:p w:rsidR="00533A95" w:rsidRDefault="00533A95" w:rsidP="00533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рішенням сільської ради</w:t>
      </w:r>
    </w:p>
    <w:p w:rsidR="00533A95" w:rsidRDefault="00533A95" w:rsidP="00533A95">
      <w:p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                 від 15.01.2014 №39/8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533A95" w:rsidRDefault="00533A95" w:rsidP="00533A95">
      <w:pPr>
        <w:jc w:val="both"/>
        <w:rPr>
          <w:b/>
          <w:sz w:val="24"/>
          <w:szCs w:val="24"/>
          <w:lang w:val="uk-UA"/>
        </w:rPr>
      </w:pPr>
    </w:p>
    <w:p w:rsidR="00533A95" w:rsidRDefault="00533A95" w:rsidP="00533A95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СКЛАД</w:t>
      </w:r>
    </w:p>
    <w:p w:rsidR="00533A95" w:rsidRDefault="00533A95" w:rsidP="00533A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комісії по встановленню розмірів внесків на розвиток інженерно-транспортної та соціальної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33A95" w:rsidRDefault="00533A95" w:rsidP="00533A95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tabs>
          <w:tab w:val="left" w:pos="1995"/>
          <w:tab w:val="left" w:pos="42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–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Киричук Світлана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депутат, голова постійної               </w:t>
      </w:r>
    </w:p>
    <w:p w:rsidR="00533A95" w:rsidRDefault="00533A95" w:rsidP="00533A9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комісії з питань планування місцевого бюджету фінансів  та     </w:t>
      </w:r>
    </w:p>
    <w:p w:rsidR="00533A95" w:rsidRDefault="00533A95" w:rsidP="00533A9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депутатської діяльності.</w:t>
      </w:r>
    </w:p>
    <w:p w:rsidR="00533A95" w:rsidRDefault="00533A95" w:rsidP="00533A95">
      <w:pPr>
        <w:tabs>
          <w:tab w:val="left" w:pos="1995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  <w:lang w:val="uk-UA"/>
        </w:rPr>
      </w:pPr>
    </w:p>
    <w:p w:rsidR="00533A95" w:rsidRDefault="00533A95" w:rsidP="00533A95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–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Динь Тетяна Іванівна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–головний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бухгалтер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33A95" w:rsidRDefault="00533A95" w:rsidP="00533A95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–  депутати, члени постійної комісії з питань планування  </w:t>
      </w:r>
    </w:p>
    <w:p w:rsidR="00533A95" w:rsidRDefault="00533A95" w:rsidP="00533A9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місцевого бюджету фінансів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та  депутатської              </w:t>
      </w:r>
    </w:p>
    <w:p w:rsidR="00533A95" w:rsidRDefault="00533A95" w:rsidP="00533A9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діяльності.</w:t>
      </w:r>
    </w:p>
    <w:p w:rsidR="00533A95" w:rsidRDefault="00533A95" w:rsidP="00533A9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Киричук Катерина Дмитрівна</w:t>
      </w:r>
    </w:p>
    <w:p w:rsidR="00533A95" w:rsidRDefault="00533A95" w:rsidP="00533A9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Солодуха Віктор Васильович</w:t>
      </w:r>
    </w:p>
    <w:p w:rsidR="00533A95" w:rsidRDefault="00533A95" w:rsidP="00533A9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Баляс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Лілія Володимирівна</w:t>
      </w:r>
    </w:p>
    <w:p w:rsidR="00533A95" w:rsidRDefault="00533A95" w:rsidP="00533A9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Денисюк Святослав Васильович</w:t>
      </w:r>
    </w:p>
    <w:p w:rsidR="00533A95" w:rsidRDefault="00533A95" w:rsidP="00533A9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Антощук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Іванна Петрівна</w:t>
      </w:r>
    </w:p>
    <w:p w:rsidR="00533A95" w:rsidRDefault="00533A95" w:rsidP="00533A95">
      <w:pPr>
        <w:tabs>
          <w:tab w:val="left" w:pos="19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33A95" w:rsidRDefault="00533A95" w:rsidP="00533A95">
      <w:pPr>
        <w:tabs>
          <w:tab w:val="left" w:pos="1995"/>
        </w:tabs>
        <w:rPr>
          <w:sz w:val="28"/>
          <w:szCs w:val="28"/>
          <w:lang w:val="uk-UA"/>
        </w:rPr>
      </w:pPr>
    </w:p>
    <w:p w:rsidR="00533A95" w:rsidRDefault="00533A95" w:rsidP="00533A95">
      <w:pPr>
        <w:tabs>
          <w:tab w:val="left" w:pos="1995"/>
        </w:tabs>
        <w:rPr>
          <w:sz w:val="28"/>
          <w:szCs w:val="28"/>
          <w:lang w:val="uk-UA"/>
        </w:rPr>
      </w:pPr>
    </w:p>
    <w:p w:rsidR="00090D39" w:rsidRDefault="00090D39"/>
    <w:sectPr w:rsidR="00090D39" w:rsidSect="0009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E2677"/>
    <w:multiLevelType w:val="hybridMultilevel"/>
    <w:tmpl w:val="A40E4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A95"/>
    <w:rsid w:val="00090D39"/>
    <w:rsid w:val="0053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">
    <w:name w:val="Just"/>
    <w:rsid w:val="00533A9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533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6151</Characters>
  <Application>Microsoft Office Word</Application>
  <DocSecurity>0</DocSecurity>
  <Lines>51</Lines>
  <Paragraphs>14</Paragraphs>
  <ScaleCrop>false</ScaleCrop>
  <Company>Microsoft</Company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2014-01-20T14:00:00Z</dcterms:created>
  <dcterms:modified xsi:type="dcterms:W3CDTF">2014-01-20T14:00:00Z</dcterms:modified>
</cp:coreProperties>
</file>